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2D9" w14:textId="6649DAE1" w:rsidR="00E412DE" w:rsidRDefault="0033163C" w:rsidP="00F82B3F">
      <w:r>
        <w:t xml:space="preserve">The </w:t>
      </w:r>
      <w:r w:rsidR="00EE2B89">
        <w:t>ARP-</w:t>
      </w:r>
      <w:r>
        <w:t>ESSER elephant in the classroom.</w:t>
      </w:r>
    </w:p>
    <w:p w14:paraId="3A5ECCA5" w14:textId="648B6F14" w:rsidR="00F82B3F" w:rsidRDefault="00F82B3F" w:rsidP="00F82B3F">
      <w:r>
        <w:t>By A.D. Soleil</w:t>
      </w:r>
    </w:p>
    <w:p w14:paraId="56828932" w14:textId="68D62DEF" w:rsidR="0033163C" w:rsidRDefault="0033163C"/>
    <w:p w14:paraId="7C2534DA" w14:textId="71643F2D" w:rsidR="008C097C" w:rsidRDefault="006D791C" w:rsidP="008C097C">
      <w:pPr>
        <w:ind w:firstLine="720"/>
      </w:pPr>
      <w:r>
        <w:t xml:space="preserve">After what seems an eternity, the world has slowly </w:t>
      </w:r>
      <w:r w:rsidR="00EC7FF5">
        <w:t>begun</w:t>
      </w:r>
      <w:r>
        <w:t xml:space="preserve"> to put itself back together</w:t>
      </w:r>
      <w:r w:rsidR="00A2203B">
        <w:t xml:space="preserve">, </w:t>
      </w:r>
      <w:r w:rsidR="007A24C3">
        <w:t xml:space="preserve">quietly </w:t>
      </w:r>
      <w:r w:rsidR="00D33EE0">
        <w:t>crawling</w:t>
      </w:r>
      <w:r w:rsidR="00A2203B">
        <w:t xml:space="preserve"> out from under the control of the ever-loving</w:t>
      </w:r>
      <w:r w:rsidR="00CD11F9">
        <w:t>,</w:t>
      </w:r>
      <w:r w:rsidR="00A2203B">
        <w:t xml:space="preserve"> if not restrictive and potentially emotionally abusive</w:t>
      </w:r>
      <w:r w:rsidR="00CD11F9">
        <w:t xml:space="preserve">, </w:t>
      </w:r>
      <w:r w:rsidR="00A2203B">
        <w:t xml:space="preserve">governing bodies of the countries to whom </w:t>
      </w:r>
      <w:r w:rsidR="00D33EE0">
        <w:t>citizens declare their affiliations.</w:t>
      </w:r>
      <w:r w:rsidR="00A2203B">
        <w:t xml:space="preserve"> </w:t>
      </w:r>
      <w:r w:rsidR="00160B2B">
        <w:t xml:space="preserve">While </w:t>
      </w:r>
      <w:hyperlink r:id="rId4" w:history="1">
        <w:r w:rsidR="00E81B9B" w:rsidRPr="00E81B9B">
          <w:rPr>
            <w:rStyle w:val="Hyperlink"/>
          </w:rPr>
          <w:t>several countries</w:t>
        </w:r>
      </w:hyperlink>
      <w:r w:rsidR="00E81B9B">
        <w:t xml:space="preserve"> are beginning to </w:t>
      </w:r>
      <w:r w:rsidR="00B85673">
        <w:t xml:space="preserve">curtail </w:t>
      </w:r>
      <w:hyperlink r:id="rId5" w:history="1">
        <w:r w:rsidR="00B85673" w:rsidRPr="00A06D29">
          <w:rPr>
            <w:rStyle w:val="Hyperlink"/>
          </w:rPr>
          <w:t>mask</w:t>
        </w:r>
      </w:hyperlink>
      <w:r w:rsidR="00B85673">
        <w:t xml:space="preserve"> and </w:t>
      </w:r>
      <w:hyperlink r:id="rId6" w:history="1">
        <w:r w:rsidR="00B85673" w:rsidRPr="00A2203B">
          <w:rPr>
            <w:rStyle w:val="Hyperlink"/>
          </w:rPr>
          <w:t>vaccine mandates</w:t>
        </w:r>
      </w:hyperlink>
      <w:r w:rsidR="00B85673">
        <w:t>, the United States continues to see implementation in full swing with the majority of implication</w:t>
      </w:r>
      <w:r w:rsidR="00A2203B">
        <w:t>s</w:t>
      </w:r>
      <w:r w:rsidR="00B85673">
        <w:t xml:space="preserve"> falling heartily onto </w:t>
      </w:r>
      <w:r w:rsidR="00A2203B">
        <w:t>the</w:t>
      </w:r>
      <w:r w:rsidR="00B85673">
        <w:t xml:space="preserve"> </w:t>
      </w:r>
      <w:r w:rsidR="00E81B9B">
        <w:t xml:space="preserve">shoulders of the </w:t>
      </w:r>
      <w:r w:rsidR="00B85673">
        <w:t xml:space="preserve">education system. </w:t>
      </w:r>
    </w:p>
    <w:p w14:paraId="5A5C9A11" w14:textId="4F8F8E46" w:rsidR="00EC7FF5" w:rsidRDefault="00A2203B" w:rsidP="00072338">
      <w:pPr>
        <w:ind w:firstLine="720"/>
      </w:pPr>
      <w:r>
        <w:t xml:space="preserve">The ARP </w:t>
      </w:r>
      <w:r w:rsidR="00D33EE0">
        <w:t xml:space="preserve">ESSER (the American Rescue Plan </w:t>
      </w:r>
      <w:r w:rsidR="00DC41E7">
        <w:t xml:space="preserve">– Elementary and Secondary School </w:t>
      </w:r>
      <w:r w:rsidR="00D33EE0">
        <w:t xml:space="preserve">Emergency </w:t>
      </w:r>
      <w:r w:rsidR="00DC41E7">
        <w:t xml:space="preserve">Relief </w:t>
      </w:r>
      <w:r>
        <w:t>fund</w:t>
      </w:r>
      <w:r w:rsidR="00DC41E7">
        <w:t>)</w:t>
      </w:r>
      <w:r>
        <w:t xml:space="preserve"> has </w:t>
      </w:r>
      <w:r w:rsidR="00E81B9B">
        <w:t>ensured</w:t>
      </w:r>
      <w:r>
        <w:t xml:space="preserve"> that is indeed the case. </w:t>
      </w:r>
      <w:r w:rsidR="0060780F">
        <w:t>With</w:t>
      </w:r>
      <w:r>
        <w:t xml:space="preserve"> free-flowing</w:t>
      </w:r>
      <w:r w:rsidR="0060780F">
        <w:t xml:space="preserve"> money frequently comes conditions and restrictions</w:t>
      </w:r>
      <w:r>
        <w:t xml:space="preserve"> </w:t>
      </w:r>
      <w:r w:rsidR="0060780F">
        <w:t xml:space="preserve">as to </w:t>
      </w:r>
      <w:r>
        <w:t xml:space="preserve">how </w:t>
      </w:r>
      <w:r w:rsidR="007A24C3">
        <w:t xml:space="preserve">said </w:t>
      </w:r>
      <w:r>
        <w:t xml:space="preserve">money </w:t>
      </w:r>
      <w:r w:rsidR="007A24C3">
        <w:t>is allowed to</w:t>
      </w:r>
      <w:r>
        <w:t xml:space="preserve"> be spent</w:t>
      </w:r>
      <w:r w:rsidR="0060780F">
        <w:t xml:space="preserve">. </w:t>
      </w:r>
      <w:r w:rsidR="00DC41E7">
        <w:t>And t</w:t>
      </w:r>
      <w:r w:rsidR="0060780F">
        <w:t>he ARP ESSER fund is no exceptio</w:t>
      </w:r>
      <w:r w:rsidR="00DC41E7">
        <w:t>n to th</w:t>
      </w:r>
      <w:r w:rsidR="007A24C3">
        <w:t>is</w:t>
      </w:r>
      <w:r w:rsidR="00DC41E7">
        <w:t xml:space="preserve"> rule</w:t>
      </w:r>
      <w:r w:rsidR="00992A17">
        <w:t>.</w:t>
      </w:r>
      <w:r w:rsidR="008C097C">
        <w:t xml:space="preserve"> </w:t>
      </w:r>
      <w:r w:rsidR="00992A17">
        <w:t xml:space="preserve">Going beyond the </w:t>
      </w:r>
      <w:r w:rsidR="00A06D29">
        <w:t>acceptable</w:t>
      </w:r>
      <w:r w:rsidR="00992A17">
        <w:t xml:space="preserve"> threshold of conditions and restrictions</w:t>
      </w:r>
      <w:r w:rsidR="008C097C">
        <w:t xml:space="preserve"> </w:t>
      </w:r>
      <w:r w:rsidR="00CF5747">
        <w:t>suggested</w:t>
      </w:r>
      <w:r w:rsidR="008C097C">
        <w:t xml:space="preserve"> by the </w:t>
      </w:r>
      <w:r w:rsidR="008C097C">
        <w:t>Centers for Disease Control and Prevention (CDC)</w:t>
      </w:r>
      <w:r w:rsidR="00992A17">
        <w:t xml:space="preserve">, it appears the United States government is </w:t>
      </w:r>
      <w:r w:rsidR="008C097C">
        <w:t xml:space="preserve">also </w:t>
      </w:r>
      <w:r w:rsidR="00992A17">
        <w:t xml:space="preserve">using the fund </w:t>
      </w:r>
      <w:r w:rsidR="00CF5747">
        <w:t xml:space="preserve">as a vehicle </w:t>
      </w:r>
      <w:r w:rsidR="00992A17">
        <w:t xml:space="preserve">to usher in </w:t>
      </w:r>
      <w:r w:rsidR="008433D5">
        <w:t>a few of its latest favorites</w:t>
      </w:r>
      <w:r w:rsidR="00992A17">
        <w:t xml:space="preserve">, </w:t>
      </w:r>
      <w:r w:rsidR="008433D5">
        <w:t>namely equity (</w:t>
      </w:r>
      <w:hyperlink r:id="rId7" w:history="1">
        <w:r w:rsidR="00992A17" w:rsidRPr="00992A17">
          <w:rPr>
            <w:rStyle w:val="Hyperlink"/>
          </w:rPr>
          <w:t>maintenance of equity</w:t>
        </w:r>
      </w:hyperlink>
      <w:r w:rsidR="008433D5">
        <w:t>) and social</w:t>
      </w:r>
      <w:r w:rsidR="00CF5747">
        <w:t xml:space="preserve"> and</w:t>
      </w:r>
      <w:r w:rsidR="008433D5">
        <w:t xml:space="preserve"> emotional learning (SEL)</w:t>
      </w:r>
      <w:r w:rsidR="00992A17">
        <w:t xml:space="preserve"> within its distribution requirements.</w:t>
      </w:r>
      <w:r w:rsidR="008C097C">
        <w:t xml:space="preserve"> </w:t>
      </w:r>
      <w:r w:rsidR="008433D5">
        <w:t xml:space="preserve"> </w:t>
      </w:r>
      <w:hyperlink r:id="rId8" w:history="1">
        <w:r w:rsidR="008433D5" w:rsidRPr="008433D5">
          <w:rPr>
            <w:rStyle w:val="Hyperlink"/>
          </w:rPr>
          <w:t>All states</w:t>
        </w:r>
      </w:hyperlink>
      <w:r w:rsidR="008433D5">
        <w:t xml:space="preserve"> received millions of dollars while some received billions under the guise of recovery</w:t>
      </w:r>
      <w:r w:rsidR="00CF5747">
        <w:t xml:space="preserve"> for a total of $122 billion set aside for K-12 schools</w:t>
      </w:r>
      <w:r w:rsidR="00B949BD">
        <w:t xml:space="preserve"> throughout the United States</w:t>
      </w:r>
      <w:r w:rsidR="008433D5">
        <w:t xml:space="preserve">. </w:t>
      </w:r>
    </w:p>
    <w:p w14:paraId="5D82DB08" w14:textId="7E777B80" w:rsidR="00072338" w:rsidRPr="00072338" w:rsidRDefault="00072338" w:rsidP="00072338">
      <w:pPr>
        <w:rPr>
          <w:b/>
          <w:bCs/>
        </w:rPr>
      </w:pPr>
      <w:r w:rsidRPr="00072338">
        <w:rPr>
          <w:b/>
          <w:bCs/>
        </w:rPr>
        <w:t>Reopening Conditions</w:t>
      </w:r>
    </w:p>
    <w:p w14:paraId="01BAAE7E" w14:textId="77777777" w:rsidR="004115F3" w:rsidRDefault="005A2B5C" w:rsidP="00F82B3F">
      <w:r>
        <w:tab/>
        <w:t>Complying with CDC operational guidelines</w:t>
      </w:r>
      <w:r w:rsidR="0020792F">
        <w:t xml:space="preserve"> and the fund requirement</w:t>
      </w:r>
      <w:r w:rsidR="00CF5747">
        <w:t>s</w:t>
      </w:r>
      <w:r>
        <w:t>, each state</w:t>
      </w:r>
      <w:r w:rsidR="00636BBE">
        <w:t xml:space="preserve">, with input from state </w:t>
      </w:r>
      <w:r w:rsidR="005F421B">
        <w:t xml:space="preserve">and county </w:t>
      </w:r>
      <w:r w:rsidR="00636BBE">
        <w:t>education and health offices,</w:t>
      </w:r>
      <w:r>
        <w:t xml:space="preserve"> has produced a</w:t>
      </w:r>
      <w:r w:rsidR="005830B7">
        <w:t xml:space="preserve"> document (</w:t>
      </w:r>
      <w:hyperlink r:id="rId9" w:history="1">
        <w:r w:rsidR="003D27ED" w:rsidRPr="003D27ED">
          <w:rPr>
            <w:rStyle w:val="Hyperlink"/>
          </w:rPr>
          <w:t>State Plans</w:t>
        </w:r>
      </w:hyperlink>
      <w:r w:rsidR="005830B7">
        <w:t xml:space="preserve">) defining how districts are expected to operate </w:t>
      </w:r>
      <w:r w:rsidR="00CF5747">
        <w:t>in order to receive</w:t>
      </w:r>
      <w:r w:rsidR="003D27ED">
        <w:t xml:space="preserve"> distributions</w:t>
      </w:r>
      <w:r w:rsidR="005F421B">
        <w:t>.  In</w:t>
      </w:r>
      <w:r w:rsidR="00CF53DD">
        <w:t xml:space="preserve"> many cases</w:t>
      </w:r>
      <w:r w:rsidR="005F421B">
        <w:t xml:space="preserve"> the plans include schools</w:t>
      </w:r>
      <w:r w:rsidR="00CF53DD">
        <w:t xml:space="preserve"> operating testing and vaccination clinics for students and families</w:t>
      </w:r>
      <w:r w:rsidR="0044766C">
        <w:t xml:space="preserve"> in addition to the standard masking and physical distancing guidelines</w:t>
      </w:r>
      <w:r w:rsidR="00CF53DD">
        <w:t xml:space="preserve">. </w:t>
      </w:r>
      <w:r w:rsidR="005F421B">
        <w:t xml:space="preserve">The </w:t>
      </w:r>
      <w:r w:rsidR="00BF2D2B">
        <w:t xml:space="preserve">CDC has </w:t>
      </w:r>
      <w:r w:rsidR="005F421B">
        <w:t>recently</w:t>
      </w:r>
      <w:r w:rsidR="00F21BA4">
        <w:t xml:space="preserve"> </w:t>
      </w:r>
      <w:hyperlink r:id="rId10" w:history="1">
        <w:r w:rsidR="00BF2D2B" w:rsidRPr="00F21BA4">
          <w:rPr>
            <w:rStyle w:val="Hyperlink"/>
          </w:rPr>
          <w:t xml:space="preserve">relinquished its </w:t>
        </w:r>
        <w:r w:rsidR="00F21BA4" w:rsidRPr="00F21BA4">
          <w:rPr>
            <w:rStyle w:val="Hyperlink"/>
          </w:rPr>
          <w:t>support for cloth masks</w:t>
        </w:r>
      </w:hyperlink>
      <w:r w:rsidR="00B15CA0">
        <w:t xml:space="preserve">, </w:t>
      </w:r>
      <w:r w:rsidR="00F21BA4">
        <w:t>nodding to the superior abilities of the N-95 mask to prevent Covid-19 spread</w:t>
      </w:r>
      <w:r w:rsidR="00B15CA0">
        <w:t xml:space="preserve"> - apparently unbeknownst to the many ‘Karens’ </w:t>
      </w:r>
      <w:r w:rsidR="005F421B">
        <w:t xml:space="preserve">who are still </w:t>
      </w:r>
      <w:r w:rsidR="00B15CA0">
        <w:t>running around treating anti-maskers are the pariah of society</w:t>
      </w:r>
      <w:r w:rsidR="00F21BA4">
        <w:t>.</w:t>
      </w:r>
      <w:r w:rsidR="00B15CA0">
        <w:t xml:space="preserve"> At the time of this article, school districts have yet to update their masking guidelines for </w:t>
      </w:r>
      <w:r w:rsidR="00B31462">
        <w:t xml:space="preserve">the </w:t>
      </w:r>
      <w:r w:rsidR="00B15CA0">
        <w:t>school</w:t>
      </w:r>
      <w:r w:rsidR="00B31462">
        <w:t>year</w:t>
      </w:r>
      <w:r w:rsidR="004115F3">
        <w:t xml:space="preserve"> and CDC has yet to require them to do so</w:t>
      </w:r>
      <w:r w:rsidR="00B15CA0">
        <w:t>. Curious minds would like to see how choir</w:t>
      </w:r>
      <w:r w:rsidR="00B31462">
        <w:t>s</w:t>
      </w:r>
      <w:r w:rsidR="00B15CA0">
        <w:t xml:space="preserve"> and bands </w:t>
      </w:r>
      <w:r w:rsidR="00840AB4">
        <w:t>propose</w:t>
      </w:r>
      <w:r w:rsidR="00B15CA0">
        <w:t xml:space="preserve"> to fit N-95s into their repertoire.</w:t>
      </w:r>
      <w:r w:rsidR="0022524D">
        <w:t xml:space="preserve"> </w:t>
      </w:r>
    </w:p>
    <w:p w14:paraId="2C86A7C1" w14:textId="524B17EA" w:rsidR="002B0272" w:rsidRDefault="002D0AB6" w:rsidP="002B0272">
      <w:pPr>
        <w:ind w:firstLine="720"/>
      </w:pPr>
      <w:r>
        <w:t>Regarding</w:t>
      </w:r>
      <w:r w:rsidR="0022524D">
        <w:t xml:space="preserve"> </w:t>
      </w:r>
      <w:r w:rsidR="00196E5E">
        <w:t xml:space="preserve">school based Covid-19 </w:t>
      </w:r>
      <w:r>
        <w:t xml:space="preserve">screening and </w:t>
      </w:r>
      <w:r w:rsidR="0022524D">
        <w:t>testing</w:t>
      </w:r>
      <w:r w:rsidR="00196E5E">
        <w:t>, data is gathered at the local level and fed into the system by the 15</w:t>
      </w:r>
      <w:r w:rsidR="00196E5E" w:rsidRPr="00196E5E">
        <w:rPr>
          <w:vertAlign w:val="superscript"/>
        </w:rPr>
        <w:t>th</w:t>
      </w:r>
      <w:r w:rsidR="00196E5E">
        <w:t xml:space="preserve"> of each month.  “</w:t>
      </w:r>
      <w:r w:rsidR="0022524D">
        <w:t>Both the monthly district data and the testing plans are of great interest to CDC and HHS leadership</w:t>
      </w:r>
      <w:r w:rsidR="00196E5E">
        <w:t xml:space="preserve">,” according to the </w:t>
      </w:r>
      <w:hyperlink r:id="rId11" w:history="1">
        <w:r w:rsidR="00196E5E" w:rsidRPr="00196E5E">
          <w:rPr>
            <w:rStyle w:val="Hyperlink"/>
          </w:rPr>
          <w:t>ELC Reo</w:t>
        </w:r>
        <w:r w:rsidR="00196E5E" w:rsidRPr="00196E5E">
          <w:rPr>
            <w:rStyle w:val="Hyperlink"/>
          </w:rPr>
          <w:t>p</w:t>
        </w:r>
        <w:r w:rsidR="00196E5E" w:rsidRPr="00196E5E">
          <w:rPr>
            <w:rStyle w:val="Hyperlink"/>
          </w:rPr>
          <w:t>ening FAQs guide</w:t>
        </w:r>
      </w:hyperlink>
      <w:r w:rsidR="00196E5E">
        <w:t>.</w:t>
      </w:r>
      <w:r w:rsidR="004115F3">
        <w:t xml:space="preserve"> The federal government is </w:t>
      </w:r>
      <w:r w:rsidR="001E370F">
        <w:t xml:space="preserve">actively gathering the state’s </w:t>
      </w:r>
      <w:r w:rsidR="004115F3">
        <w:t xml:space="preserve">testing data. </w:t>
      </w:r>
      <w:r w:rsidR="00536F8B">
        <w:t xml:space="preserve">To help facilitate testing programs </w:t>
      </w:r>
      <w:r w:rsidR="00536F8B">
        <w:t xml:space="preserve">federal </w:t>
      </w:r>
      <w:r w:rsidR="00536F8B">
        <w:t xml:space="preserve">government funds are provided to state health departments who then help districts </w:t>
      </w:r>
      <w:r w:rsidR="00536F8B">
        <w:t xml:space="preserve">by </w:t>
      </w:r>
      <w:r w:rsidR="00536F8B">
        <w:t>fund</w:t>
      </w:r>
      <w:r w:rsidR="00536F8B">
        <w:t>ing</w:t>
      </w:r>
      <w:r w:rsidR="00536F8B">
        <w:t xml:space="preserve"> additional nursing staff and assistants on a temporary basis.</w:t>
      </w:r>
      <w:r w:rsidR="002B0272">
        <w:t xml:space="preserve"> Contact tracing is part of the health department requirements and is avidly reported to local authorities.</w:t>
      </w:r>
    </w:p>
    <w:p w14:paraId="64D855CA" w14:textId="77777777" w:rsidR="00EE2B89" w:rsidRDefault="00117E3A" w:rsidP="00840AB4">
      <w:pPr>
        <w:ind w:firstLine="720"/>
      </w:pPr>
      <w:r>
        <w:t xml:space="preserve">While testing and operating </w:t>
      </w:r>
      <w:r w:rsidR="00EC3495">
        <w:t xml:space="preserve">vaccination clinics in the </w:t>
      </w:r>
      <w:r>
        <w:t>schools pose many challenges to the potentially</w:t>
      </w:r>
      <w:r w:rsidR="00132D4E">
        <w:t xml:space="preserve"> </w:t>
      </w:r>
      <w:r>
        <w:t xml:space="preserve">overwhelmed </w:t>
      </w:r>
      <w:r w:rsidR="00132D4E">
        <w:t xml:space="preserve">(and perhaps emotionally exhausted) </w:t>
      </w:r>
      <w:r>
        <w:t xml:space="preserve">districts the CDC has </w:t>
      </w:r>
      <w:r w:rsidR="00132D4E">
        <w:t xml:space="preserve">graciously </w:t>
      </w:r>
      <w:r>
        <w:t>partnered with organizations</w:t>
      </w:r>
      <w:r w:rsidR="00132D4E">
        <w:t>,</w:t>
      </w:r>
      <w:r>
        <w:t xml:space="preserve"> such as </w:t>
      </w:r>
      <w:r w:rsidR="0091286A">
        <w:t>R</w:t>
      </w:r>
      <w:r w:rsidR="00132D4E">
        <w:t xml:space="preserve">ockefeller </w:t>
      </w:r>
      <w:r w:rsidR="005830AC">
        <w:t>F</w:t>
      </w:r>
      <w:r w:rsidR="00132D4E">
        <w:t xml:space="preserve">oundation, to provide guidance on </w:t>
      </w:r>
      <w:hyperlink r:id="rId12" w:history="1">
        <w:r w:rsidR="0091286A" w:rsidRPr="0091286A">
          <w:rPr>
            <w:rStyle w:val="Hyperlink"/>
          </w:rPr>
          <w:t>establishin</w:t>
        </w:r>
        <w:r w:rsidR="0091286A" w:rsidRPr="0091286A">
          <w:rPr>
            <w:rStyle w:val="Hyperlink"/>
          </w:rPr>
          <w:t>g</w:t>
        </w:r>
        <w:r w:rsidR="0091286A" w:rsidRPr="0091286A">
          <w:rPr>
            <w:rStyle w:val="Hyperlink"/>
          </w:rPr>
          <w:t xml:space="preserve"> trus</w:t>
        </w:r>
        <w:r w:rsidR="0091286A" w:rsidRPr="0091286A">
          <w:rPr>
            <w:rStyle w:val="Hyperlink"/>
          </w:rPr>
          <w:t>t</w:t>
        </w:r>
      </w:hyperlink>
      <w:r w:rsidR="0091286A">
        <w:t xml:space="preserve"> and open communications with parents in hopes of preventing </w:t>
      </w:r>
      <w:r w:rsidR="0044766C">
        <w:t xml:space="preserve">barriers to </w:t>
      </w:r>
      <w:r w:rsidR="00CC1AC7">
        <w:t>testing and vaccinations</w:t>
      </w:r>
      <w:r w:rsidR="001B1603">
        <w:t xml:space="preserve">. </w:t>
      </w:r>
    </w:p>
    <w:p w14:paraId="28D6E3E7" w14:textId="20C4738B" w:rsidR="00735A11" w:rsidRDefault="001B1603" w:rsidP="00840AB4">
      <w:pPr>
        <w:ind w:firstLine="720"/>
      </w:pPr>
      <w:r>
        <w:lastRenderedPageBreak/>
        <w:t>The</w:t>
      </w:r>
      <w:r w:rsidR="0091286A">
        <w:t xml:space="preserve"> </w:t>
      </w:r>
      <w:r w:rsidR="0091286A" w:rsidRPr="001B1603">
        <w:t>Sha</w:t>
      </w:r>
      <w:r w:rsidR="001029A8" w:rsidRPr="001B1603">
        <w:t>h</w:t>
      </w:r>
      <w:r w:rsidR="0091286A" w:rsidRPr="001B1603">
        <w:t xml:space="preserve"> Family Foundation</w:t>
      </w:r>
      <w:r>
        <w:t xml:space="preserve"> </w:t>
      </w:r>
      <w:r w:rsidR="005830AC">
        <w:t xml:space="preserve">has </w:t>
      </w:r>
      <w:r>
        <w:t xml:space="preserve">also partnered with the CDC to provide (among other things) social marketing methods </w:t>
      </w:r>
      <w:r w:rsidR="00EC3495">
        <w:t xml:space="preserve">(known as nudges) </w:t>
      </w:r>
      <w:r>
        <w:t xml:space="preserve">to </w:t>
      </w:r>
      <w:hyperlink r:id="rId13" w:anchor="increasing-participation" w:history="1">
        <w:r w:rsidRPr="00EC3495">
          <w:rPr>
            <w:rStyle w:val="Hyperlink"/>
          </w:rPr>
          <w:t>increase program participation</w:t>
        </w:r>
      </w:hyperlink>
      <w:r>
        <w:t xml:space="preserve"> </w:t>
      </w:r>
      <w:r w:rsidR="005830AC">
        <w:t>suggesting the use of</w:t>
      </w:r>
      <w:r w:rsidR="00EC3495">
        <w:t xml:space="preserve"> </w:t>
      </w:r>
      <w:r w:rsidR="00CC1AC7">
        <w:t xml:space="preserve">coaches </w:t>
      </w:r>
      <w:r>
        <w:t>or</w:t>
      </w:r>
      <w:r w:rsidR="00CC1AC7">
        <w:t xml:space="preserve"> trusted teachers</w:t>
      </w:r>
      <w:r w:rsidR="00EC3495">
        <w:t xml:space="preserve"> to get the message out</w:t>
      </w:r>
      <w:r>
        <w:t xml:space="preserve">. </w:t>
      </w:r>
      <w:r w:rsidR="00905077">
        <w:t xml:space="preserve">In an effort to further </w:t>
      </w:r>
      <w:hyperlink r:id="rId14" w:history="1">
        <w:r w:rsidR="00905077" w:rsidRPr="00905077">
          <w:rPr>
            <w:rStyle w:val="Hyperlink"/>
          </w:rPr>
          <w:t>nudge communities</w:t>
        </w:r>
      </w:hyperlink>
      <w:r w:rsidR="00905077">
        <w:t xml:space="preserve"> to vaccinate and boost, the CDC has </w:t>
      </w:r>
      <w:r w:rsidR="00582227">
        <w:t xml:space="preserve">generously </w:t>
      </w:r>
      <w:r w:rsidR="00905077">
        <w:t xml:space="preserve">provided audience specific guidance </w:t>
      </w:r>
      <w:r w:rsidR="005830AC">
        <w:t xml:space="preserve">- </w:t>
      </w:r>
      <w:r w:rsidR="00905077">
        <w:t>shaped by perceptions, beliefs and patterns</w:t>
      </w:r>
      <w:r w:rsidR="00582227">
        <w:t xml:space="preserve">. </w:t>
      </w:r>
      <w:hyperlink r:id="rId15" w:history="1">
        <w:r w:rsidR="00582227">
          <w:rPr>
            <w:rStyle w:val="Hyperlink"/>
          </w:rPr>
          <w:t>S</w:t>
        </w:r>
        <w:r w:rsidR="00B842E4" w:rsidRPr="00B842E4">
          <w:rPr>
            <w:rStyle w:val="Hyperlink"/>
          </w:rPr>
          <w:t xml:space="preserve">everal </w:t>
        </w:r>
        <w:r w:rsidR="00905077">
          <w:rPr>
            <w:rStyle w:val="Hyperlink"/>
          </w:rPr>
          <w:t xml:space="preserve">general </w:t>
        </w:r>
        <w:r w:rsidR="00B842E4" w:rsidRPr="00B842E4">
          <w:rPr>
            <w:rStyle w:val="Hyperlink"/>
          </w:rPr>
          <w:t>ma</w:t>
        </w:r>
        <w:r w:rsidR="00B842E4" w:rsidRPr="00B842E4">
          <w:rPr>
            <w:rStyle w:val="Hyperlink"/>
          </w:rPr>
          <w:t>r</w:t>
        </w:r>
        <w:r w:rsidR="00B842E4" w:rsidRPr="00B842E4">
          <w:rPr>
            <w:rStyle w:val="Hyperlink"/>
          </w:rPr>
          <w:t>keting documents</w:t>
        </w:r>
      </w:hyperlink>
      <w:r w:rsidR="00582227">
        <w:t xml:space="preserve"> and nudge guides </w:t>
      </w:r>
      <w:r w:rsidR="00F82B3F">
        <w:t>are openly available</w:t>
      </w:r>
      <w:r w:rsidR="00582227">
        <w:t xml:space="preserve"> on</w:t>
      </w:r>
      <w:r w:rsidR="00F82B3F">
        <w:t xml:space="preserve"> the CDC website. </w:t>
      </w:r>
      <w:r w:rsidR="004F22B2">
        <w:t>States need only know their demographics or target audiences to employ the federally supplied research and utilize the tactics</w:t>
      </w:r>
      <w:r w:rsidR="005830AC">
        <w:t xml:space="preserve"> or nudges</w:t>
      </w:r>
      <w:r w:rsidR="004F22B2">
        <w:t xml:space="preserve">. </w:t>
      </w:r>
      <w:r w:rsidR="00735A11">
        <w:t xml:space="preserve">Nudge units </w:t>
      </w:r>
      <w:r w:rsidR="00F82B3F">
        <w:t>across the Atlantic (</w:t>
      </w:r>
      <w:r w:rsidR="00735A11">
        <w:t>in the U</w:t>
      </w:r>
      <w:r w:rsidR="00F82B3F">
        <w:t>nited Kingdom)</w:t>
      </w:r>
      <w:r w:rsidR="00735A11">
        <w:t xml:space="preserve"> have recently come under fire for the use of </w:t>
      </w:r>
      <w:hyperlink r:id="rId16" w:history="1">
        <w:r w:rsidR="00735A11" w:rsidRPr="00735A11">
          <w:rPr>
            <w:rStyle w:val="Hyperlink"/>
          </w:rPr>
          <w:t>unethical, fear-based scare tactics</w:t>
        </w:r>
      </w:hyperlink>
      <w:r w:rsidR="00735A11">
        <w:t xml:space="preserve">. </w:t>
      </w:r>
    </w:p>
    <w:p w14:paraId="5B55F657" w14:textId="6AC01746" w:rsidR="00840AB4" w:rsidRDefault="004F22B2" w:rsidP="00840AB4">
      <w:pPr>
        <w:ind w:firstLine="720"/>
      </w:pPr>
      <w:r>
        <w:t xml:space="preserve">In case the marketing does not provide a compelling enough case, </w:t>
      </w:r>
      <w:r w:rsidR="00B31462">
        <w:t xml:space="preserve">ARP </w:t>
      </w:r>
      <w:r w:rsidR="001029A8">
        <w:t xml:space="preserve">ESSER funds can </w:t>
      </w:r>
      <w:r w:rsidR="00EC3495">
        <w:t>also be</w:t>
      </w:r>
      <w:r w:rsidR="001029A8">
        <w:t xml:space="preserve"> used to </w:t>
      </w:r>
      <w:hyperlink r:id="rId17" w:history="1">
        <w:r w:rsidR="001029A8" w:rsidRPr="007B280C">
          <w:rPr>
            <w:rStyle w:val="Hyperlink"/>
          </w:rPr>
          <w:t>cover vaccine incentive</w:t>
        </w:r>
      </w:hyperlink>
      <w:r w:rsidR="001029A8">
        <w:t xml:space="preserve"> programs, allowing for anything from new tablets to college scholarships, books or even cash rewards.</w:t>
      </w:r>
      <w:r>
        <w:t xml:space="preserve"> Yes, you too may have free Dunkin Donuts with your booster or win a new tablet!</w:t>
      </w:r>
      <w:r w:rsidR="00840AB4">
        <w:t xml:space="preserve"> In an effort to</w:t>
      </w:r>
      <w:r w:rsidR="00DC6C6C">
        <w:t xml:space="preserve"> prevent misinformation and helper counter </w:t>
      </w:r>
      <w:r w:rsidR="00971B26">
        <w:t>vaccine and booster hesitancy</w:t>
      </w:r>
      <w:r w:rsidR="00DC6C6C">
        <w:t xml:space="preserve">, states are </w:t>
      </w:r>
      <w:r w:rsidR="005830AC">
        <w:t xml:space="preserve">being </w:t>
      </w:r>
      <w:r w:rsidR="00DC6C6C">
        <w:t xml:space="preserve">encouraged </w:t>
      </w:r>
      <w:r w:rsidR="00840AB4">
        <w:t xml:space="preserve">by the agency </w:t>
      </w:r>
      <w:r w:rsidR="00DC6C6C">
        <w:t xml:space="preserve">to use </w:t>
      </w:r>
      <w:hyperlink r:id="rId18" w:history="1">
        <w:r w:rsidR="00DC6C6C" w:rsidRPr="00DC6C6C">
          <w:rPr>
            <w:rStyle w:val="Hyperlink"/>
          </w:rPr>
          <w:t>social media</w:t>
        </w:r>
      </w:hyperlink>
      <w:r w:rsidR="00DC6C6C">
        <w:t xml:space="preserve"> </w:t>
      </w:r>
      <w:r w:rsidR="00971B26">
        <w:t xml:space="preserve">to gather </w:t>
      </w:r>
      <w:r w:rsidR="005830AC">
        <w:t>data</w:t>
      </w:r>
      <w:r w:rsidR="00F82B3F">
        <w:t xml:space="preserve"> (</w:t>
      </w:r>
      <w:r w:rsidR="00971B26">
        <w:t>using Boolean logic, hashtags and analytic</w:t>
      </w:r>
      <w:r w:rsidR="00840AB4">
        <w:t>s, among other things</w:t>
      </w:r>
      <w:r w:rsidR="00F82B3F">
        <w:t>)</w:t>
      </w:r>
      <w:r w:rsidR="00840AB4">
        <w:t xml:space="preserve"> </w:t>
      </w:r>
      <w:r w:rsidR="005830AC">
        <w:t xml:space="preserve">to create </w:t>
      </w:r>
      <w:r w:rsidR="00840AB4">
        <w:t>to multi-channel snapshots</w:t>
      </w:r>
      <w:r w:rsidR="00F82B3F">
        <w:t xml:space="preserve"> of nay-sayers and purveyors of misinformation</w:t>
      </w:r>
      <w:r w:rsidR="00840AB4">
        <w:t>.</w:t>
      </w:r>
      <w:r w:rsidR="005830AC">
        <w:t xml:space="preserve"> </w:t>
      </w:r>
    </w:p>
    <w:p w14:paraId="7CD194D4" w14:textId="070A55E3" w:rsidR="00CF53DD" w:rsidRPr="00EE2B89" w:rsidRDefault="00EE2B89">
      <w:pPr>
        <w:rPr>
          <w:b/>
          <w:bCs/>
        </w:rPr>
      </w:pPr>
      <w:r w:rsidRPr="00EE2B89">
        <w:rPr>
          <w:b/>
          <w:bCs/>
        </w:rPr>
        <w:t>Fund Requirements</w:t>
      </w:r>
    </w:p>
    <w:p w14:paraId="27BF5DBA" w14:textId="77777777" w:rsidR="00D04A13" w:rsidRDefault="00582227">
      <w:r>
        <w:tab/>
        <w:t>As mentioned earlier, nothing comes without strings attached</w:t>
      </w:r>
      <w:r w:rsidR="002D0AB6">
        <w:t>.</w:t>
      </w:r>
      <w:r w:rsidR="00196E5E">
        <w:t xml:space="preserve"> </w:t>
      </w:r>
      <w:r w:rsidR="002D0AB6">
        <w:t>A</w:t>
      </w:r>
      <w:r>
        <w:t xml:space="preserve">long with the acceptance of </w:t>
      </w:r>
      <w:r w:rsidR="002D0AB6">
        <w:t>ARP</w:t>
      </w:r>
      <w:r w:rsidR="004115F3">
        <w:t>-</w:t>
      </w:r>
      <w:r w:rsidR="002D0AB6">
        <w:t xml:space="preserve">ESSER </w:t>
      </w:r>
      <w:r>
        <w:t>funds, there are requirements which must be met.</w:t>
      </w:r>
      <w:r w:rsidR="00B949BD">
        <w:t xml:space="preserve"> Most notable are the conditions (or requirements) of equity and social and emotional learning (SEL.) </w:t>
      </w:r>
      <w:r w:rsidR="00696FCB">
        <w:t xml:space="preserve">The equity requirements are to meet the needs of the students the federal government deems have been subjected </w:t>
      </w:r>
      <w:r w:rsidR="00696FCB" w:rsidRPr="00860603">
        <w:rPr>
          <w:rFonts w:cstheme="minorHAnsi"/>
        </w:rPr>
        <w:t xml:space="preserve">to </w:t>
      </w:r>
      <w:r w:rsidR="00860603" w:rsidRPr="00860603">
        <w:rPr>
          <w:rFonts w:cstheme="minorHAnsi"/>
        </w:rPr>
        <w:t>“</w:t>
      </w:r>
      <w:r w:rsidR="00860603" w:rsidRPr="00860603">
        <w:rPr>
          <w:rFonts w:cstheme="minorHAnsi"/>
          <w:shd w:val="clear" w:color="auto" w:fill="FFFFFF"/>
        </w:rPr>
        <w:t xml:space="preserve">longstanding opportunity gaps in our education </w:t>
      </w:r>
      <w:r w:rsidR="00860603" w:rsidRPr="00860603">
        <w:rPr>
          <w:rFonts w:cstheme="minorHAnsi"/>
          <w:shd w:val="clear" w:color="auto" w:fill="FFFFFF"/>
        </w:rPr>
        <w:t>system” (systemic)</w:t>
      </w:r>
      <w:r w:rsidR="00860603">
        <w:t xml:space="preserve">, according to ARPA-ESSER’s own </w:t>
      </w:r>
      <w:hyperlink r:id="rId19" w:history="1">
        <w:r w:rsidR="00860603" w:rsidRPr="00AF4926">
          <w:rPr>
            <w:rStyle w:val="Hyperlink"/>
          </w:rPr>
          <w:t xml:space="preserve">Maintenance of Equity </w:t>
        </w:r>
        <w:r w:rsidR="00AF4926" w:rsidRPr="00AF4926">
          <w:rPr>
            <w:rStyle w:val="Hyperlink"/>
          </w:rPr>
          <w:t>provision</w:t>
        </w:r>
      </w:hyperlink>
      <w:r w:rsidR="00AF4926">
        <w:t>.  How each state defines the opportunity gaps is open for negotiation</w:t>
      </w:r>
      <w:r w:rsidR="00C2500D">
        <w:t xml:space="preserve"> and detailed within the individual state ARP-ESSER plans</w:t>
      </w:r>
      <w:r w:rsidR="00AF4926">
        <w:t xml:space="preserve">. </w:t>
      </w:r>
    </w:p>
    <w:p w14:paraId="29612AC9" w14:textId="3FADF6BC" w:rsidR="00EE2B89" w:rsidRDefault="006A3A2C" w:rsidP="00D04A13">
      <w:pPr>
        <w:ind w:firstLine="720"/>
      </w:pPr>
      <w:r>
        <w:t xml:space="preserve">For example, </w:t>
      </w:r>
      <w:r w:rsidR="00C2500D">
        <w:t xml:space="preserve">the state of Florida’s plan </w:t>
      </w:r>
      <w:r w:rsidR="003D306B">
        <w:t>openly</w:t>
      </w:r>
      <w:r w:rsidR="00C2500D">
        <w:t xml:space="preserve"> </w:t>
      </w:r>
      <w:r w:rsidR="003D306B">
        <w:t xml:space="preserve">highlights </w:t>
      </w:r>
      <w:r w:rsidR="00C2500D">
        <w:t xml:space="preserve">the </w:t>
      </w:r>
      <w:r w:rsidR="00321B3A">
        <w:t xml:space="preserve">numerical </w:t>
      </w:r>
      <w:r w:rsidR="00C2500D">
        <w:t>variances between the racial or ethnic lines, as require</w:t>
      </w:r>
      <w:r>
        <w:t>d</w:t>
      </w:r>
      <w:r w:rsidR="003D306B">
        <w:t xml:space="preserve"> by the federal government</w:t>
      </w:r>
      <w:r w:rsidR="00C2500D">
        <w:t>, enunciating that for the most part the declination of EOC scores can be seen across the board</w:t>
      </w:r>
      <w:r>
        <w:t xml:space="preserve">. Regardless of income disparities scores declined </w:t>
      </w:r>
      <w:r w:rsidR="00D04A13">
        <w:t>across every</w:t>
      </w:r>
      <w:r>
        <w:t xml:space="preserve"> racial or ethnic group. </w:t>
      </w:r>
      <w:r w:rsidR="003F1BDC">
        <w:t xml:space="preserve">It is not simply low-income students who have been affected by school closures and hybrid learning plans. Florida mentions the following students </w:t>
      </w:r>
      <w:r w:rsidR="00D04A13">
        <w:t>are most impacted as well – those with</w:t>
      </w:r>
      <w:r w:rsidR="003F1BDC">
        <w:t xml:space="preserve">; Individual Educational Plans (IEPs), </w:t>
      </w:r>
      <w:r w:rsidR="00D04A13">
        <w:t xml:space="preserve">504 Disabilities, Developmental Delays, English as a Second Language, and Reading and/or Language Impaired. It is safe to say every student within the K-12 system across every state of the United States, regardless of income levels, has been affected by school closures and hybrid learning plans or lack thereof. </w:t>
      </w:r>
    </w:p>
    <w:p w14:paraId="6D2A2D6E" w14:textId="665185C6" w:rsidR="009A1078" w:rsidRDefault="00DF46BF" w:rsidP="009A1078">
      <w:pPr>
        <w:ind w:firstLine="720"/>
      </w:pPr>
      <w:hyperlink r:id="rId20" w:history="1">
        <w:r w:rsidR="00321B3A" w:rsidRPr="00DF46BF">
          <w:rPr>
            <w:rStyle w:val="Hyperlink"/>
          </w:rPr>
          <w:t>North Carolina’s plan</w:t>
        </w:r>
      </w:hyperlink>
      <w:r w:rsidR="00955E8F">
        <w:t>, on the other hand,</w:t>
      </w:r>
      <w:r w:rsidR="00321B3A">
        <w:t xml:space="preserve"> </w:t>
      </w:r>
      <w:r w:rsidR="001C261D">
        <w:t>lacks solid</w:t>
      </w:r>
      <w:r w:rsidR="00F415DC">
        <w:t xml:space="preserve"> </w:t>
      </w:r>
      <w:r w:rsidR="00321B3A">
        <w:t>numerical data</w:t>
      </w:r>
      <w:r w:rsidR="003A4494">
        <w:t xml:space="preserve">. </w:t>
      </w:r>
      <w:r w:rsidR="00296ACF">
        <w:t xml:space="preserve">If the items highlighted are indicators of </w:t>
      </w:r>
      <w:r w:rsidR="003A4494">
        <w:t xml:space="preserve">academic </w:t>
      </w:r>
      <w:r w:rsidR="00296ACF">
        <w:t xml:space="preserve">issues discovered during the pandemic </w:t>
      </w:r>
      <w:r w:rsidR="003A4494">
        <w:t>with</w:t>
      </w:r>
      <w:r w:rsidR="00296ACF">
        <w:t>in</w:t>
      </w:r>
      <w:r w:rsidR="003A4494">
        <w:t xml:space="preserve"> the state of </w:t>
      </w:r>
      <w:r w:rsidR="00296ACF">
        <w:t xml:space="preserve">North Carolina, one can safely assume </w:t>
      </w:r>
      <w:r w:rsidR="00955E8F">
        <w:t xml:space="preserve">English, reading ability and white children were not affected by the lack of education. Given every racial sub-group has at least 30% within or above the </w:t>
      </w:r>
      <w:hyperlink r:id="rId21" w:history="1">
        <w:r w:rsidR="00955E8F" w:rsidRPr="00955E8F">
          <w:rPr>
            <w:rStyle w:val="Hyperlink"/>
          </w:rPr>
          <w:t>mid-high poverty level</w:t>
        </w:r>
      </w:hyperlink>
      <w:r w:rsidR="00955E8F">
        <w:t xml:space="preserve">, as defined by the National Center for Education Statistics free or reduced lunch program, one can assume income disparities are faced by all races. </w:t>
      </w:r>
      <w:r w:rsidR="003A4494">
        <w:t xml:space="preserve">Yet, North Carolina only highlights the needs for students who are; American Indian, Asian, Black, Hispanic and Two or more races when </w:t>
      </w:r>
      <w:r w:rsidR="007E7CB4">
        <w:t>defined</w:t>
      </w:r>
      <w:r w:rsidR="003A4494">
        <w:t xml:space="preserve"> by ethnicity</w:t>
      </w:r>
      <w:r w:rsidR="0095533C">
        <w:t xml:space="preserve">. </w:t>
      </w:r>
    </w:p>
    <w:p w14:paraId="697E396D" w14:textId="77777777" w:rsidR="00DF46BF" w:rsidRDefault="003A4494" w:rsidP="00DF46BF">
      <w:pPr>
        <w:ind w:firstLine="720"/>
      </w:pPr>
      <w:r>
        <w:t>In any case, North Carolina’s highest priority</w:t>
      </w:r>
      <w:r w:rsidR="0095533C">
        <w:t xml:space="preserve">, despite listing </w:t>
      </w:r>
      <w:r w:rsidR="007E7CB4">
        <w:t>“</w:t>
      </w:r>
      <w:r w:rsidR="0095533C">
        <w:t>recovery in reading and math</w:t>
      </w:r>
      <w:r w:rsidR="007E7CB4">
        <w:t>”</w:t>
      </w:r>
      <w:r w:rsidR="0095533C">
        <w:t xml:space="preserve"> as </w:t>
      </w:r>
      <w:r w:rsidR="009A1078">
        <w:t xml:space="preserve">its </w:t>
      </w:r>
      <w:r w:rsidR="0095533C">
        <w:t>top issue,</w:t>
      </w:r>
      <w:r>
        <w:t xml:space="preserve"> is to ensure its student have access to social and emotional learning</w:t>
      </w:r>
      <w:r w:rsidR="009A1078">
        <w:t xml:space="preserve">, </w:t>
      </w:r>
      <w:hyperlink r:id="rId22" w:history="1">
        <w:r w:rsidR="009A1078" w:rsidRPr="009A1078">
          <w:rPr>
            <w:rStyle w:val="Hyperlink"/>
          </w:rPr>
          <w:t xml:space="preserve">a program the state </w:t>
        </w:r>
        <w:r w:rsidR="009A1078" w:rsidRPr="009A1078">
          <w:rPr>
            <w:rStyle w:val="Hyperlink"/>
          </w:rPr>
          <w:lastRenderedPageBreak/>
          <w:t>started to roll out in the fall 2019</w:t>
        </w:r>
      </w:hyperlink>
      <w:r w:rsidR="009A1078">
        <w:t>.</w:t>
      </w:r>
      <w:r w:rsidR="00DF46BF">
        <w:t xml:space="preserve"> </w:t>
      </w:r>
      <w:r w:rsidR="0095533C">
        <w:t xml:space="preserve">Of the 230 comments North Carolina received when its </w:t>
      </w:r>
      <w:r w:rsidR="00DA7A0B">
        <w:t xml:space="preserve">ELC </w:t>
      </w:r>
      <w:r w:rsidR="0095533C">
        <w:t>plan was available online</w:t>
      </w:r>
      <w:r w:rsidR="007E7CB4">
        <w:t xml:space="preserve"> for 30 days</w:t>
      </w:r>
      <w:r w:rsidR="0095533C">
        <w:t xml:space="preserve"> in draft form, 88% were in reference to Critical Race Theory </w:t>
      </w:r>
      <w:r w:rsidR="0095706D">
        <w:t xml:space="preserve">leaving the state completely confounded </w:t>
      </w:r>
      <w:r w:rsidR="00DA7A0B">
        <w:t>in their response,</w:t>
      </w:r>
      <w:r w:rsidR="0095706D">
        <w:t xml:space="preserve"> “</w:t>
      </w:r>
      <w:r w:rsidR="0095706D">
        <w:t>Critical Race Theory is not mentioned in the ARP ESSER State Plan Template.</w:t>
      </w:r>
      <w:r w:rsidR="0095706D">
        <w:t xml:space="preserve">” </w:t>
      </w:r>
    </w:p>
    <w:p w14:paraId="455CA731" w14:textId="2C82F229" w:rsidR="00CF53DD" w:rsidRDefault="0095706D" w:rsidP="00DF46BF">
      <w:pPr>
        <w:ind w:firstLine="720"/>
      </w:pPr>
      <w:r>
        <w:t xml:space="preserve">Social and emotional </w:t>
      </w:r>
      <w:r w:rsidR="00F8749F">
        <w:t>l</w:t>
      </w:r>
      <w:r>
        <w:t xml:space="preserve">earning is a foundational tenet of Critical Race Theory, even </w:t>
      </w:r>
      <w:r w:rsidR="00F8749F">
        <w:t>if public and private schools</w:t>
      </w:r>
      <w:r w:rsidR="00D97E25">
        <w:t xml:space="preserve"> alike</w:t>
      </w:r>
      <w:r w:rsidR="00F8749F">
        <w:t xml:space="preserve"> choose to </w:t>
      </w:r>
      <w:r w:rsidR="00456CBE">
        <w:t>adamantly deny</w:t>
      </w:r>
      <w:r w:rsidR="00F8749F">
        <w:t xml:space="preserve"> the fact. </w:t>
      </w:r>
      <w:r w:rsidR="00CC11AF">
        <w:t>Critical Race Theory and Social and Emotional Learning are intertwined, one looks at the micro-level of identity whereas the other focuses on the macro-level</w:t>
      </w:r>
      <w:r w:rsidR="00DA7A0B">
        <w:t>,</w:t>
      </w:r>
      <w:r w:rsidR="00CC11AF">
        <w:t xml:space="preserve"> both attempting </w:t>
      </w:r>
      <w:r w:rsidR="00DA7A0B">
        <w:t xml:space="preserve">to highlight inequity and injustice. </w:t>
      </w:r>
      <w:hyperlink r:id="rId23" w:history="1">
        <w:r w:rsidR="0077449F" w:rsidRPr="00456CBE">
          <w:rPr>
            <w:rStyle w:val="Hyperlink"/>
          </w:rPr>
          <w:t xml:space="preserve">Miller’s article on the </w:t>
        </w:r>
        <w:r w:rsidR="00D97E25" w:rsidRPr="00456CBE">
          <w:rPr>
            <w:rStyle w:val="Hyperlink"/>
          </w:rPr>
          <w:t>Idaho Freedom Foundation</w:t>
        </w:r>
      </w:hyperlink>
      <w:r w:rsidR="0077449F">
        <w:t xml:space="preserve"> highlighted as much when she quoted </w:t>
      </w:r>
      <w:r w:rsidR="00456CBE">
        <w:t xml:space="preserve">the declaration from CASEL’s CEO, </w:t>
      </w:r>
      <w:hyperlink r:id="rId24" w:history="1">
        <w:r w:rsidR="00456CBE">
          <w:rPr>
            <w:rStyle w:val="Hyperlink"/>
          </w:rPr>
          <w:t>“</w:t>
        </w:r>
        <w:r w:rsidR="00B05371" w:rsidRPr="00B05371">
          <w:rPr>
            <w:rStyle w:val="Hyperlink"/>
          </w:rPr>
          <w:t>We see SEL as a tool for ant</w:t>
        </w:r>
        <w:r w:rsidR="00B05371" w:rsidRPr="00B05371">
          <w:rPr>
            <w:rStyle w:val="Hyperlink"/>
          </w:rPr>
          <w:t>i</w:t>
        </w:r>
        <w:r w:rsidR="00B05371" w:rsidRPr="00B05371">
          <w:rPr>
            <w:rStyle w:val="Hyperlink"/>
          </w:rPr>
          <w:t>-</w:t>
        </w:r>
        <w:r w:rsidR="00B05371" w:rsidRPr="00B05371">
          <w:rPr>
            <w:rStyle w:val="Hyperlink"/>
          </w:rPr>
          <w:t>r</w:t>
        </w:r>
        <w:r w:rsidR="00B05371" w:rsidRPr="00B05371">
          <w:rPr>
            <w:rStyle w:val="Hyperlink"/>
          </w:rPr>
          <w:t>acism.”</w:t>
        </w:r>
      </w:hyperlink>
      <w:r w:rsidR="00456CBE">
        <w:t xml:space="preserve">  </w:t>
      </w:r>
      <w:r w:rsidR="004A259A">
        <w:t xml:space="preserve">The </w:t>
      </w:r>
      <w:r w:rsidR="00456CBE">
        <w:t xml:space="preserve">ARP-ESSER </w:t>
      </w:r>
      <w:r w:rsidR="004A259A">
        <w:t xml:space="preserve">fund </w:t>
      </w:r>
      <w:r w:rsidR="00456CBE">
        <w:t xml:space="preserve">is quietly furthering the federal government’s agenda of equity and </w:t>
      </w:r>
      <w:r w:rsidR="004A259A">
        <w:t>SEL</w:t>
      </w:r>
      <w:r w:rsidR="006A1165">
        <w:t>,</w:t>
      </w:r>
      <w:r w:rsidR="00456CBE">
        <w:t xml:space="preserve"> perhaps hoping no one will notice until it is too late</w:t>
      </w:r>
      <w:r w:rsidR="006A1165">
        <w:t xml:space="preserve"> -</w:t>
      </w:r>
      <w:r w:rsidR="00CA6155">
        <w:t xml:space="preserve"> the elephant in the classroom.</w:t>
      </w:r>
    </w:p>
    <w:p w14:paraId="12DE2449" w14:textId="6F22CA6D" w:rsidR="00CD5693" w:rsidRDefault="00CD5693"/>
    <w:p w14:paraId="24BCA37F" w14:textId="77777777" w:rsidR="00CD5693" w:rsidRDefault="00CD5693"/>
    <w:p w14:paraId="2A0E2BEC" w14:textId="7CB7C99C" w:rsidR="00974446" w:rsidRDefault="00974446"/>
    <w:p w14:paraId="31BE4D73" w14:textId="77777777" w:rsidR="00974446" w:rsidRDefault="00974446"/>
    <w:p w14:paraId="4D762BC2" w14:textId="49799D26" w:rsidR="00B14BA4" w:rsidRDefault="00B14BA4"/>
    <w:p w14:paraId="598E9551" w14:textId="77777777" w:rsidR="00B14BA4" w:rsidRDefault="00B14BA4"/>
    <w:sectPr w:rsidR="00B1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B6"/>
    <w:rsid w:val="00004FE7"/>
    <w:rsid w:val="000321CE"/>
    <w:rsid w:val="00072338"/>
    <w:rsid w:val="001029A8"/>
    <w:rsid w:val="00117E3A"/>
    <w:rsid w:val="00132D4E"/>
    <w:rsid w:val="00160B2B"/>
    <w:rsid w:val="00196E5E"/>
    <w:rsid w:val="001B1603"/>
    <w:rsid w:val="001C261D"/>
    <w:rsid w:val="001E370F"/>
    <w:rsid w:val="0020792F"/>
    <w:rsid w:val="0022524D"/>
    <w:rsid w:val="00277998"/>
    <w:rsid w:val="00296ACF"/>
    <w:rsid w:val="002B0272"/>
    <w:rsid w:val="002D0AB6"/>
    <w:rsid w:val="00321B3A"/>
    <w:rsid w:val="0033163C"/>
    <w:rsid w:val="003A4494"/>
    <w:rsid w:val="003D27ED"/>
    <w:rsid w:val="003D306B"/>
    <w:rsid w:val="003F1BDC"/>
    <w:rsid w:val="004115F3"/>
    <w:rsid w:val="0044766C"/>
    <w:rsid w:val="00456CBE"/>
    <w:rsid w:val="004A259A"/>
    <w:rsid w:val="004F22B2"/>
    <w:rsid w:val="00536F8B"/>
    <w:rsid w:val="00582227"/>
    <w:rsid w:val="005830AC"/>
    <w:rsid w:val="005830B7"/>
    <w:rsid w:val="005A2B5C"/>
    <w:rsid w:val="005E61B6"/>
    <w:rsid w:val="005F421B"/>
    <w:rsid w:val="0060780F"/>
    <w:rsid w:val="00636BBE"/>
    <w:rsid w:val="00696FCB"/>
    <w:rsid w:val="00697AEC"/>
    <w:rsid w:val="006A1165"/>
    <w:rsid w:val="006A3A2C"/>
    <w:rsid w:val="006D791C"/>
    <w:rsid w:val="00735A11"/>
    <w:rsid w:val="0077449F"/>
    <w:rsid w:val="007A24C3"/>
    <w:rsid w:val="007B280C"/>
    <w:rsid w:val="007E7CB4"/>
    <w:rsid w:val="00840AB4"/>
    <w:rsid w:val="008433D5"/>
    <w:rsid w:val="00860603"/>
    <w:rsid w:val="008C097C"/>
    <w:rsid w:val="008D271A"/>
    <w:rsid w:val="00905077"/>
    <w:rsid w:val="0091286A"/>
    <w:rsid w:val="0095533C"/>
    <w:rsid w:val="00955E8F"/>
    <w:rsid w:val="0095706D"/>
    <w:rsid w:val="00971B26"/>
    <w:rsid w:val="00974446"/>
    <w:rsid w:val="00992A17"/>
    <w:rsid w:val="009A1078"/>
    <w:rsid w:val="00A06D29"/>
    <w:rsid w:val="00A2203B"/>
    <w:rsid w:val="00AF4926"/>
    <w:rsid w:val="00B05371"/>
    <w:rsid w:val="00B14BA4"/>
    <w:rsid w:val="00B15CA0"/>
    <w:rsid w:val="00B31462"/>
    <w:rsid w:val="00B44056"/>
    <w:rsid w:val="00B842E4"/>
    <w:rsid w:val="00B85673"/>
    <w:rsid w:val="00B85A14"/>
    <w:rsid w:val="00B949BD"/>
    <w:rsid w:val="00BF2D2B"/>
    <w:rsid w:val="00C2500D"/>
    <w:rsid w:val="00CA6155"/>
    <w:rsid w:val="00CC11AF"/>
    <w:rsid w:val="00CC1AC7"/>
    <w:rsid w:val="00CD11F9"/>
    <w:rsid w:val="00CD5693"/>
    <w:rsid w:val="00CF53DD"/>
    <w:rsid w:val="00CF5747"/>
    <w:rsid w:val="00D04A13"/>
    <w:rsid w:val="00D33EE0"/>
    <w:rsid w:val="00D97E25"/>
    <w:rsid w:val="00DA7A0B"/>
    <w:rsid w:val="00DC4119"/>
    <w:rsid w:val="00DC41E7"/>
    <w:rsid w:val="00DC6C6C"/>
    <w:rsid w:val="00DE310C"/>
    <w:rsid w:val="00DF46BF"/>
    <w:rsid w:val="00E412DE"/>
    <w:rsid w:val="00E81B9B"/>
    <w:rsid w:val="00EC3495"/>
    <w:rsid w:val="00EC7FF5"/>
    <w:rsid w:val="00EE2B89"/>
    <w:rsid w:val="00F21BA4"/>
    <w:rsid w:val="00F2442B"/>
    <w:rsid w:val="00F415DC"/>
    <w:rsid w:val="00F82B3F"/>
    <w:rsid w:val="00F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4128"/>
  <w15:chartTrackingRefBased/>
  <w15:docId w15:val="{D5A8C98A-7E46-4047-9273-9D8F1D7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2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se.ed.gov/files/2021/03/FINAL_ARP-ESSER-Methodology-and-Table.pdf" TargetMode="External"/><Relationship Id="rId13" Type="http://schemas.openxmlformats.org/officeDocument/2006/relationships/hyperlink" Target="https://www.openandsafeschools.org/communications" TargetMode="External"/><Relationship Id="rId18" Type="http://schemas.openxmlformats.org/officeDocument/2006/relationships/hyperlink" Target="https://www.cdc.gov/vaccines/covid-19/vaccinate-with-confidence/rca-guide/downloads/CDC_RCA_Guide_2021_Tools_AppendixE_SocialListening-Monitoring-Tools-508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ces.ed.gov/programs/coe/indicator/clb" TargetMode="External"/><Relationship Id="rId7" Type="http://schemas.openxmlformats.org/officeDocument/2006/relationships/hyperlink" Target="https://oese.ed.gov/files/2021/03/FINAL_ARP-ESSER-FACT-SHEET.pdf" TargetMode="External"/><Relationship Id="rId12" Type="http://schemas.openxmlformats.org/officeDocument/2006/relationships/hyperlink" Target="https://www.rockefellerfoundation.org/wp-content/uploads/2021/02/The-RockefellerFoundation-Covid-19-K-12-Testing-Playbook-for-Educators-and-Leaders.pdf" TargetMode="External"/><Relationship Id="rId17" Type="http://schemas.openxmlformats.org/officeDocument/2006/relationships/hyperlink" Target="https://oese.ed.gov/files/2021/07/FAQ-21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legraph.co.uk/politics/2022/01/28/grossly-unethical-downing-street-nudge-unit-accused-scaring/" TargetMode="External"/><Relationship Id="rId20" Type="http://schemas.openxmlformats.org/officeDocument/2006/relationships/hyperlink" Target="https://oese.ed.gov/files/2021/09/North-Carolina-ARP-ESSER-State-Plan-Final_Redacte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uters.com/world/europe/sweden-decides-against-recommending-covid-vaccines-kids-aged-5-12-2022-01-27/" TargetMode="External"/><Relationship Id="rId11" Type="http://schemas.openxmlformats.org/officeDocument/2006/relationships/hyperlink" Target="https://www.cdc.gov/ncezid/dpei/pdf/elc-reopening-schools-faq-508.pdf" TargetMode="External"/><Relationship Id="rId24" Type="http://schemas.openxmlformats.org/officeDocument/2006/relationships/hyperlink" Target="https://idahofreedom.org/social-emotional-learning-part-2-how-sel-became-a-vehicle-for-critical-race-theory/" TargetMode="External"/><Relationship Id="rId5" Type="http://schemas.openxmlformats.org/officeDocument/2006/relationships/hyperlink" Target="https://www.washingtontimes.com/news/2022/jan/27/denmark-drops-most-of-its-covid-19-restrictions-mo/" TargetMode="External"/><Relationship Id="rId15" Type="http://schemas.openxmlformats.org/officeDocument/2006/relationships/hyperlink" Target="https://www.cdc.gov/coronavirus/2019-ncov/communication/print-resources.html?Sort=Date%3A%3Adesc&amp;Search=poster" TargetMode="External"/><Relationship Id="rId23" Type="http://schemas.openxmlformats.org/officeDocument/2006/relationships/hyperlink" Target="https://idahofreedom.org/social-emotional-learning-part-2-how-sel-became-a-vehicle-for-critical-race-theory/" TargetMode="External"/><Relationship Id="rId10" Type="http://schemas.openxmlformats.org/officeDocument/2006/relationships/hyperlink" Target="https://www.nytimes.com/2022/01/14/health/cloth-masks-covid-cdc.html" TargetMode="External"/><Relationship Id="rId19" Type="http://schemas.openxmlformats.org/officeDocument/2006/relationships/hyperlink" Target="https://oese.ed.gov/offices/american-rescue-plan/american-rescue-plan-elementary-and-secondary-school-emergency-relief/maintenance-of-equity/" TargetMode="External"/><Relationship Id="rId4" Type="http://schemas.openxmlformats.org/officeDocument/2006/relationships/hyperlink" Target="https://www.washingtonexaminer.com/policy/european-countries-rolling-back-covid-19-restrictions" TargetMode="External"/><Relationship Id="rId9" Type="http://schemas.openxmlformats.org/officeDocument/2006/relationships/hyperlink" Target="https://oese.ed.gov/offices/american-rescue-plan/american-rescue-plan-elementary-and-secondary-school-emergency-relief/stateplans/" TargetMode="External"/><Relationship Id="rId14" Type="http://schemas.openxmlformats.org/officeDocument/2006/relationships/hyperlink" Target="https://www.cdc.gov/vaccines/covid-19/hcp/tailoring-information.html" TargetMode="External"/><Relationship Id="rId22" Type="http://schemas.openxmlformats.org/officeDocument/2006/relationships/hyperlink" Target="https://www.dpi.nc.gov/media/8133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Keifer</dc:creator>
  <cp:keywords/>
  <dc:description/>
  <cp:lastModifiedBy>Angela Keifer</cp:lastModifiedBy>
  <cp:revision>2</cp:revision>
  <dcterms:created xsi:type="dcterms:W3CDTF">2022-01-30T04:23:00Z</dcterms:created>
  <dcterms:modified xsi:type="dcterms:W3CDTF">2022-01-30T04:23:00Z</dcterms:modified>
</cp:coreProperties>
</file>